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19F3FD50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85949">
        <w:rPr>
          <w:rFonts w:ascii="Arial" w:hAnsi="Arial" w:cs="Arial"/>
          <w:sz w:val="20"/>
          <w:szCs w:val="20"/>
          <w:lang w:val="en-US"/>
        </w:rPr>
        <w:t>2</w:t>
      </w:r>
      <w:r w:rsidR="00B77589">
        <w:rPr>
          <w:rFonts w:ascii="Arial" w:hAnsi="Arial" w:cs="Arial"/>
          <w:sz w:val="20"/>
          <w:szCs w:val="20"/>
          <w:lang w:val="en-US"/>
        </w:rPr>
        <w:t>4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</w:t>
      </w:r>
      <w:r w:rsidR="00B77589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785949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521047D6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785949">
        <w:rPr>
          <w:rFonts w:ascii="Arial" w:hAnsi="Arial" w:cs="Arial"/>
          <w:sz w:val="20"/>
          <w:szCs w:val="20"/>
        </w:rPr>
        <w:t xml:space="preserve">DALI steuerbare Leuchte mit LED-Konverter an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B77589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785949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77589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26</cp:revision>
  <dcterms:created xsi:type="dcterms:W3CDTF">2016-04-28T11:03:00Z</dcterms:created>
  <dcterms:modified xsi:type="dcterms:W3CDTF">2020-06-16T09:44:00Z</dcterms:modified>
</cp:coreProperties>
</file>